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microct-ana-unibe-ch/microvasculature-manuscript@25bcb5a</w:t>
        </w:r>
      </w:hyperlink>
      <w:r>
        <w:t xml:space="preserve"> </w:t>
      </w:r>
      <w:r>
        <w:t xml:space="preserve">on June 13,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a SKYSCAN 1172 (Bruker microCT, Kontich, Belgium).</w:t>
      </w:r>
      <w:r>
        <w:t xml:space="preserve"> </w:t>
      </w:r>
      <w:r>
        <w:t xml:space="preserve">The full collection of all relevant scanning and reconstruction parameters for each dataset shown in all figures is given in a table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50 kV and an X-ray source current of 200 µA.</w:t>
      </w:r>
      <w:r>
        <w:t xml:space="preserve"> </w:t>
      </w:r>
      <w:r>
        <w:t xml:space="preserve">The sample was rotated over totally 360° with one projection acquired at each 0.05° and 3 projections were averaged.</w:t>
      </w:r>
      <w:r>
        <w:t xml:space="preserve"> </w:t>
      </w:r>
      <w:r>
        <w:t xml:space="preserve">This resulted in an isometric voxel size of 2.98 µm.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On the other hand, it enables tomographic imaging of the murine hind limb vasculature with less artifacts around the bone at lower acceleration voltages, which in most instances leads to shorter scanning times.</w:t>
      </w:r>
      <w:r>
        <w:t xml:space="preserve"> </w:t>
      </w:r>
      <w:r>
        <w:t xml:space="preserve">These samples were imaged with a SKYSCAN 1172,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59 kV and an X-ray source current of 167 µA.</w:t>
      </w:r>
      <w:r>
        <w:t xml:space="preserve"> </w:t>
      </w:r>
      <w:r>
        <w:t xml:space="preserve">The X-rays were filtered by 0.2 mm of aluminum prior to incidence onto the sample.</w:t>
      </w:r>
      <w:r>
        <w:t xml:space="preserve"> </w:t>
      </w:r>
      <w:r>
        <w:t xml:space="preserve">The sample was rotated over totally 180° with one projection acquired at each 0.1° and 2 projections were averaged.</w:t>
      </w:r>
      <w:r>
        <w:t xml:space="preserve"> </w:t>
      </w:r>
      <w:r>
        <w:t xml:space="preserve">This resulted in an isometric voxel size of 3.19 µm.</w:t>
      </w:r>
    </w:p>
    <w:p>
      <w:pPr>
        <w:pStyle w:val="BodyText"/>
      </w:pP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60 kV and an X-ray source current of 166 µA.</w:t>
      </w:r>
      <w:r>
        <w:t xml:space="preserve"> </w:t>
      </w:r>
      <w:r>
        <w:t xml:space="preserve">The X-rays were filtered by 0.2 mm of aluminum prior to incidence onto the sample.</w:t>
      </w:r>
      <w:r>
        <w:t xml:space="preserve"> </w:t>
      </w:r>
      <w:r>
        <w:t xml:space="preserve">The sample was rotated over totally 360° with one projection acquired at each 0.1° and 3 projections were averaged.</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p>
    <w:p>
      <w:pPr>
        <w:pStyle w:val="BodyText"/>
      </w:pPr>
      <w:r>
        <w:t xml:space="preserve">The mouse teeth were imaged using a desktop microCT scanner SKYSCAN 1272 (Fig.</w:t>
      </w:r>
      <w:r>
        <w:t xml:space="preserve"> </w:t>
      </w:r>
      <w:hyperlink w:anchor="fig:4">
        <w:r>
          <w:rPr>
            <w:rStyle w:val="Hyperlink"/>
          </w:rPr>
          <w:t xml:space="preserve">4</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80 kV.</w:t>
      </w:r>
      <w:r>
        <w:t xml:space="preserve"> </w:t>
      </w:r>
      <w:r>
        <w:t xml:space="preserve"> </w:t>
      </w:r>
      <w:r>
        <w:t xml:space="preserve">The X-rays were filtered by 0.2 mm of aluminum prior to incidence onto the sample.</w:t>
      </w:r>
      <w:r>
        <w:t xml:space="preserve"> </w:t>
      </w:r>
      <w:r>
        <w:t xml:space="preserve">The sample was rotated over totally 360° with one projection acquired at each 0.1° and 4 projections were averaged.</w:t>
      </w:r>
      <w:r>
        <w:t xml:space="preserve"> </w:t>
      </w:r>
      <w:r>
        <w:t xml:space="preserve">This resulted in an isometric voxel size of 1.0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r>
        <w:t xml:space="preserve"> </w:t>
      </w:r>
      <w:r>
        <w:t xml:space="preserve">Mandibles were then later scanned using SKYSCAN 1273 (Fig.</w:t>
      </w:r>
      <w:r>
        <w:t xml:space="preserve"> </w:t>
      </w:r>
      <w:hyperlink w:anchor="fig:5">
        <w:r>
          <w:rPr>
            <w:rStyle w:val="Hyperlink"/>
          </w:rPr>
          <w:t xml:space="preserve">5</w:t>
        </w:r>
      </w:hyperlink>
      <w:r>
        <w:t xml:space="preserve">, panel A) or SKYSCAN 2214 (Fig.</w:t>
      </w:r>
      <w:r>
        <w:t xml:space="preserve"> </w:t>
      </w:r>
      <w:hyperlink w:anchor="fig:5">
        <w:r>
          <w:rPr>
            <w:rStyle w:val="Hyperlink"/>
          </w:rPr>
          <w:t xml:space="preserve">5</w:t>
        </w:r>
      </w:hyperlink>
      <w:r>
        <w:t xml:space="preserve">, panel B and C),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the scan for panel A was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The sample was rotated over totally 360° with one projection acquired at each 0.15° and 5 projections were averaged.</w:t>
      </w:r>
      <w:r>
        <w:t xml:space="preserve"> </w:t>
      </w:r>
      <w:r>
        <w:t xml:space="preserve">This resulted in an isometric voxel size of 9 µm.</w:t>
      </w:r>
      <w:r>
        <w:t xml:space="preserve"> </w:t>
      </w:r>
      <w:r>
        <w:t xml:space="preserve">For the data shown in panels B and C, the scan was performed with an X-ray source acceleration voltage of 100 kV and an X-ray t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To horizontally overlapping projections were stitched to one to increase the imaged sample volume.</w:t>
      </w:r>
      <w:r>
        <w:t xml:space="preserve"> </w:t>
      </w:r>
      <w:r>
        <w:t xml:space="preserve">This resulted in an isometric voxel size of 8 µm.</w:t>
      </w:r>
      <w:r>
        <w:t xml:space="preserve"> </w:t>
      </w:r>
      <w:r>
        <w:t xml:space="preserve">Data was visualized with CTvox (v.3.3.1).</w:t>
      </w:r>
    </w:p>
    <w:p>
      <w:pPr>
        <w:pStyle w:val="BodyText"/>
      </w:pP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100 kV and an X-ray source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This resulted in an isometric voxel size of 8.0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Resources; Writing – review &amp; editing</w:t>
            </w:r>
          </w:p>
        </w:tc>
      </w:tr>
      <w:tr>
        <w:tc>
          <w:tcPr/>
          <w:p>
            <w:pPr>
              <w:pStyle w:val="Compact"/>
              <w:jc w:val="left"/>
            </w:pPr>
            <w:r>
              <w:t xml:space="preserve">Marianna Kruithof-de Julio</w:t>
            </w:r>
          </w:p>
        </w:tc>
        <w:tc>
          <w:tcPr/>
          <w:p>
            <w:pPr>
              <w:pStyle w:val="Compact"/>
              <w:jc w:val="left"/>
            </w:pPr>
            <w:r>
              <w:t xml:space="preserve">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Resources; Writing – review &amp; editing</w:t>
            </w:r>
          </w:p>
        </w:tc>
      </w:tr>
      <w:tr>
        <w:tc>
          <w:tcPr/>
          <w:p>
            <w:pPr>
              <w:pStyle w:val="Compact"/>
              <w:jc w:val="left"/>
            </w:pPr>
            <w:r>
              <w:t xml:space="preserve">Benjamin Bellón</w:t>
            </w:r>
          </w:p>
        </w:tc>
        <w:tc>
          <w:tcPr/>
          <w:p>
            <w:pPr>
              <w:pStyle w:val="Compact"/>
              <w:jc w:val="left"/>
            </w:pPr>
            <w:r>
              <w:t xml:space="preserve">Methodology; Writing – review &amp; editing</w:t>
            </w:r>
          </w:p>
        </w:tc>
      </w:tr>
      <w:tr>
        <w:tc>
          <w:tcPr/>
          <w:p>
            <w:pPr>
              <w:pStyle w:val="Compact"/>
              <w:jc w:val="left"/>
            </w:pPr>
            <w:r>
              <w:t xml:space="preserve">Rebecca Sandgren</w:t>
            </w:r>
          </w:p>
        </w:tc>
        <w:tc>
          <w:tcPr/>
          <w:p>
            <w:pPr>
              <w:pStyle w:val="Compact"/>
              <w:jc w:val="left"/>
            </w:pPr>
            <w:r>
              <w:t xml:space="preserve">Resources; Writing – review &amp; editing</w:t>
            </w:r>
          </w:p>
        </w:tc>
      </w:tr>
      <w:tr>
        <w:tc>
          <w:tcPr/>
          <w:p>
            <w:pPr>
              <w:pStyle w:val="Compact"/>
              <w:jc w:val="left"/>
            </w:pPr>
            <w:r>
              <w:t xml:space="preserve">Benjamin E. Pippenger</w:t>
            </w:r>
          </w:p>
        </w:tc>
        <w:tc>
          <w:tcPr/>
          <w:p>
            <w:pPr>
              <w:pStyle w:val="Compact"/>
              <w:jc w:val="left"/>
            </w:pPr>
            <w:r>
              <w:t xml:space="preserve">Methodology;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Supervision;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Supervision; Validation;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2"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https://doi.org/gr897c</w:t>
        </w:r>
      </w:hyperlink>
      <w:r>
        <w:t xml:space="preserve"> </w:t>
      </w:r>
      <w:r>
        <w:t xml:space="preserve">DOI:</w:t>
      </w:r>
      <w:r>
        <w:t xml:space="preserve"> </w:t>
      </w:r>
      <w:hyperlink r:id="rId250">
        <w:r>
          <w:rPr>
            <w:rStyle w:val="Hyperlink"/>
          </w:rPr>
          <w:t xml:space="preserve">10.1016/j.cellsig.2020.109873</w:t>
        </w:r>
      </w:hyperlink>
      <w:r>
        <w:t xml:space="preserve"> </w:t>
      </w:r>
      <w:r>
        <w:t xml:space="preserve">· PMID:</w:t>
      </w:r>
      <w:r>
        <w:t xml:space="preserve"> </w:t>
      </w:r>
      <w:hyperlink r:id="rId251">
        <w:r>
          <w:rPr>
            <w:rStyle w:val="Hyperlink"/>
          </w:rPr>
          <w:t xml:space="preserve">33285241</w:t>
        </w:r>
      </w:hyperlink>
    </w:p>
    <w:bookmarkEnd w:id="252"/>
    <w:bookmarkStart w:id="257"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3">
        <w:r>
          <w:rPr>
            <w:rStyle w:val="Hyperlink"/>
          </w:rPr>
          <w:t xml:space="preserve">https://doi.org/gr897d</w:t>
        </w:r>
      </w:hyperlink>
      <w:r>
        <w:t xml:space="preserve"> </w:t>
      </w:r>
      <w:r>
        <w:t xml:space="preserve">DOI:</w:t>
      </w:r>
      <w:r>
        <w:t xml:space="preserve"> </w:t>
      </w:r>
      <w:hyperlink r:id="rId254">
        <w:r>
          <w:rPr>
            <w:rStyle w:val="Hyperlink"/>
          </w:rPr>
          <w:t xml:space="preserve">10.1038/s41592-021-01363-5</w:t>
        </w:r>
      </w:hyperlink>
      <w:r>
        <w:t xml:space="preserve"> </w:t>
      </w:r>
      <w:r>
        <w:t xml:space="preserve">· PMID:</w:t>
      </w:r>
      <w:r>
        <w:t xml:space="preserve"> </w:t>
      </w:r>
      <w:hyperlink r:id="rId255">
        <w:r>
          <w:rPr>
            <w:rStyle w:val="Hyperlink"/>
          </w:rPr>
          <w:t xml:space="preserve">35145319</w:t>
        </w:r>
      </w:hyperlink>
      <w:r>
        <w:t xml:space="preserve"> </w:t>
      </w:r>
      <w:r>
        <w:t xml:space="preserve">· PMCID:</w:t>
      </w:r>
      <w:r>
        <w:t xml:space="preserve"> </w:t>
      </w:r>
      <w:hyperlink r:id="rId256">
        <w:r>
          <w:rPr>
            <w:rStyle w:val="Hyperlink"/>
          </w:rPr>
          <w:t xml:space="preserve">PMC8842955</w:t>
        </w:r>
      </w:hyperlink>
    </w:p>
    <w:bookmarkEnd w:id="257"/>
    <w:bookmarkStart w:id="261"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8">
        <w:r>
          <w:rPr>
            <w:rStyle w:val="Hyperlink"/>
          </w:rPr>
          <w:t xml:space="preserve">https://doi.org/gmc94x</w:t>
        </w:r>
      </w:hyperlink>
      <w:r>
        <w:t xml:space="preserve"> </w:t>
      </w:r>
      <w:r>
        <w:t xml:space="preserve">DOI:</w:t>
      </w:r>
      <w:r>
        <w:t xml:space="preserve"> </w:t>
      </w:r>
      <w:hyperlink r:id="rId259">
        <w:r>
          <w:rPr>
            <w:rStyle w:val="Hyperlink"/>
          </w:rPr>
          <w:t xml:space="preserve">10.1126/science.abc8479</w:t>
        </w:r>
      </w:hyperlink>
      <w:r>
        <w:t xml:space="preserve"> </w:t>
      </w:r>
      <w:r>
        <w:t xml:space="preserve">· PMID:</w:t>
      </w:r>
      <w:r>
        <w:t xml:space="preserve"> </w:t>
      </w:r>
      <w:hyperlink r:id="rId260">
        <w:r>
          <w:rPr>
            <w:rStyle w:val="Hyperlink"/>
          </w:rPr>
          <w:t xml:space="preserve">34326210</w:t>
        </w:r>
      </w:hyperlink>
    </w:p>
    <w:bookmarkEnd w:id="261"/>
    <w:bookmarkStart w:id="266"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2">
        <w:r>
          <w:rPr>
            <w:rStyle w:val="Hyperlink"/>
          </w:rPr>
          <w:t xml:space="preserve">https://doi.org/gr737t</w:t>
        </w:r>
      </w:hyperlink>
      <w:r>
        <w:t xml:space="preserve"> </w:t>
      </w:r>
      <w:r>
        <w:t xml:space="preserve">DOI:</w:t>
      </w:r>
      <w:r>
        <w:t xml:space="preserve"> </w:t>
      </w:r>
      <w:hyperlink r:id="rId263">
        <w:r>
          <w:rPr>
            <w:rStyle w:val="Hyperlink"/>
          </w:rPr>
          <w:t xml:space="preserve">10.1007/s00429-020-02158-8</w:t>
        </w:r>
      </w:hyperlink>
      <w:r>
        <w:t xml:space="preserve"> </w:t>
      </w:r>
      <w:r>
        <w:t xml:space="preserve">· PMID:</w:t>
      </w:r>
      <w:r>
        <w:t xml:space="preserve"> </w:t>
      </w:r>
      <w:hyperlink r:id="rId264">
        <w:r>
          <w:rPr>
            <w:rStyle w:val="Hyperlink"/>
          </w:rPr>
          <w:t xml:space="preserve">33128675</w:t>
        </w:r>
      </w:hyperlink>
      <w:r>
        <w:t xml:space="preserve"> </w:t>
      </w:r>
      <w:r>
        <w:t xml:space="preserve">· PMCID:</w:t>
      </w:r>
      <w:r>
        <w:t xml:space="preserve"> </w:t>
      </w:r>
      <w:hyperlink r:id="rId265">
        <w:r>
          <w:rPr>
            <w:rStyle w:val="Hyperlink"/>
          </w:rPr>
          <w:t xml:space="preserve">PMC7674347</w:t>
        </w:r>
      </w:hyperlink>
    </w:p>
    <w:bookmarkEnd w:id="266"/>
    <w:bookmarkStart w:id="270"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7">
        <w:r>
          <w:rPr>
            <w:rStyle w:val="Hyperlink"/>
          </w:rPr>
          <w:t xml:space="preserve">https://doi.org/gdbw3b</w:t>
        </w:r>
      </w:hyperlink>
      <w:r>
        <w:t xml:space="preserve"> </w:t>
      </w:r>
      <w:r>
        <w:t xml:space="preserve">DOI:</w:t>
      </w:r>
      <w:r>
        <w:t xml:space="preserve"> </w:t>
      </w:r>
      <w:hyperlink r:id="rId268">
        <w:r>
          <w:rPr>
            <w:rStyle w:val="Hyperlink"/>
          </w:rPr>
          <w:t xml:space="preserve">10.1152/ajprenal.00099.2017</w:t>
        </w:r>
      </w:hyperlink>
      <w:r>
        <w:t xml:space="preserve"> </w:t>
      </w:r>
      <w:r>
        <w:t xml:space="preserve">· PMID:</w:t>
      </w:r>
      <w:r>
        <w:t xml:space="preserve"> </w:t>
      </w:r>
      <w:hyperlink r:id="rId269">
        <w:r>
          <w:rPr>
            <w:rStyle w:val="Hyperlink"/>
          </w:rPr>
          <w:t xml:space="preserve">29167169</w:t>
        </w:r>
      </w:hyperlink>
    </w:p>
    <w:bookmarkEnd w:id="270"/>
    <w:bookmarkStart w:id="274"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1">
        <w:r>
          <w:rPr>
            <w:rStyle w:val="Hyperlink"/>
          </w:rPr>
          <w:t xml:space="preserve">https://doi.org/ghgd4s</w:t>
        </w:r>
      </w:hyperlink>
      <w:r>
        <w:t xml:space="preserve"> </w:t>
      </w:r>
      <w:r>
        <w:t xml:space="preserve">DOI:</w:t>
      </w:r>
      <w:r>
        <w:t xml:space="preserve"> </w:t>
      </w:r>
      <w:hyperlink r:id="rId272">
        <w:r>
          <w:rPr>
            <w:rStyle w:val="Hyperlink"/>
          </w:rPr>
          <w:t xml:space="preserve">10.1016/j.vph.2018.09.003</w:t>
        </w:r>
      </w:hyperlink>
      <w:r>
        <w:t xml:space="preserve"> </w:t>
      </w:r>
      <w:r>
        <w:t xml:space="preserve">· PMID:</w:t>
      </w:r>
      <w:r>
        <w:t xml:space="preserve"> </w:t>
      </w:r>
      <w:hyperlink r:id="rId273">
        <w:r>
          <w:rPr>
            <w:rStyle w:val="Hyperlink"/>
          </w:rPr>
          <w:t xml:space="preserve">30248380</w:t>
        </w:r>
      </w:hyperlink>
    </w:p>
    <w:bookmarkEnd w:id="274"/>
    <w:bookmarkStart w:id="279"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5">
        <w:r>
          <w:rPr>
            <w:rStyle w:val="Hyperlink"/>
          </w:rPr>
          <w:t xml:space="preserve">https://doi.org/f9p4pn</w:t>
        </w:r>
      </w:hyperlink>
      <w:r>
        <w:t xml:space="preserve"> </w:t>
      </w:r>
      <w:r>
        <w:t xml:space="preserve">DOI:</w:t>
      </w:r>
      <w:r>
        <w:t xml:space="preserve"> </w:t>
      </w:r>
      <w:hyperlink r:id="rId276">
        <w:r>
          <w:rPr>
            <w:rStyle w:val="Hyperlink"/>
          </w:rPr>
          <w:t xml:space="preserve">10.1038/srep41842</w:t>
        </w:r>
      </w:hyperlink>
      <w:r>
        <w:t xml:space="preserve"> </w:t>
      </w:r>
      <w:r>
        <w:t xml:space="preserve">· PMID:</w:t>
      </w:r>
      <w:r>
        <w:t xml:space="preserve"> </w:t>
      </w:r>
      <w:hyperlink r:id="rId277">
        <w:r>
          <w:rPr>
            <w:rStyle w:val="Hyperlink"/>
          </w:rPr>
          <w:t xml:space="preserve">28169309</w:t>
        </w:r>
      </w:hyperlink>
      <w:r>
        <w:t xml:space="preserve"> </w:t>
      </w:r>
      <w:r>
        <w:t xml:space="preserve">· PMCID:</w:t>
      </w:r>
      <w:r>
        <w:t xml:space="preserve"> </w:t>
      </w:r>
      <w:hyperlink r:id="rId278">
        <w:r>
          <w:rPr>
            <w:rStyle w:val="Hyperlink"/>
          </w:rPr>
          <w:t xml:space="preserve">PMC5294414</w:t>
        </w:r>
      </w:hyperlink>
    </w:p>
    <w:bookmarkEnd w:id="279"/>
    <w:bookmarkStart w:id="283"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80">
        <w:r>
          <w:rPr>
            <w:rStyle w:val="Hyperlink"/>
          </w:rPr>
          <w:t xml:space="preserve">https://doi.org/gr737s</w:t>
        </w:r>
      </w:hyperlink>
      <w:r>
        <w:t xml:space="preserve"> </w:t>
      </w:r>
      <w:r>
        <w:t xml:space="preserve">DOI:</w:t>
      </w:r>
      <w:r>
        <w:t xml:space="preserve"> </w:t>
      </w:r>
      <w:hyperlink r:id="rId281">
        <w:r>
          <w:rPr>
            <w:rStyle w:val="Hyperlink"/>
          </w:rPr>
          <w:t xml:space="preserve">10.1007/978-1-4939-3999-2_2</w:t>
        </w:r>
      </w:hyperlink>
      <w:r>
        <w:t xml:space="preserve"> </w:t>
      </w:r>
      <w:r>
        <w:t xml:space="preserve">· PMID:</w:t>
      </w:r>
      <w:r>
        <w:t xml:space="preserve"> </w:t>
      </w:r>
      <w:hyperlink r:id="rId282">
        <w:r>
          <w:rPr>
            <w:rStyle w:val="Hyperlink"/>
          </w:rPr>
          <w:t xml:space="preserve">27858352</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25bcb5ac9bf864baec87c067e6573f5af3e9ba1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5bcb5ac9bf864baec87c067e6573f5af3e9ba1f"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5bcb5ac9bf864baec87c067e6573f5af3e9ba1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25bcb5ac9bf864baec87c067e6573f5af3e9ba1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5bcb5ac9bf864baec87c067e6573f5af3e9ba1f"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5bcb5ac9bf864baec87c067e6573f5af3e9ba1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2023-06-13T15:58:27Z</dcterms:created>
  <dcterms:modified xsi:type="dcterms:W3CDTF">2023-06-13T15:58:27Z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